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4A62ABB9"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FA1167">
        <w:rPr>
          <w:rFonts w:cs="David" w:hint="cs"/>
          <w:rtl/>
        </w:rPr>
        <w:t>אלול</w:t>
      </w:r>
      <w:r>
        <w:rPr>
          <w:rFonts w:cs="David" w:hint="cs"/>
          <w:rtl/>
        </w:rPr>
        <w:t xml:space="preserve"> תשפ"</w:t>
      </w:r>
      <w:r w:rsidR="00BB5C95">
        <w:rPr>
          <w:rFonts w:cs="David" w:hint="cs"/>
          <w:rtl/>
        </w:rPr>
        <w:t>ד</w:t>
      </w:r>
    </w:p>
    <w:p w14:paraId="3097EF93" w14:textId="3C502EF5" w:rsidR="00065A46" w:rsidRDefault="00FA1167" w:rsidP="00065A46">
      <w:pPr>
        <w:bidi/>
        <w:jc w:val="right"/>
        <w:rPr>
          <w:rFonts w:cs="David"/>
          <w:rtl/>
        </w:rPr>
      </w:pPr>
      <w:r>
        <w:rPr>
          <w:rFonts w:cs="David" w:hint="cs"/>
          <w:rtl/>
        </w:rPr>
        <w:t>ספטמבר 2024</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35A9A774" w:rsidR="00065A46" w:rsidRDefault="000F2996" w:rsidP="00065A46">
      <w:pPr>
        <w:pStyle w:val="1"/>
        <w:jc w:val="both"/>
        <w:rPr>
          <w:rFonts w:ascii="Arial" w:hAnsi="Arial" w:cs="Guttman Yad-Brush"/>
          <w:sz w:val="22"/>
          <w:szCs w:val="22"/>
          <w:rtl/>
        </w:rPr>
      </w:pPr>
      <w:r>
        <w:rPr>
          <w:rFonts w:ascii="Arial" w:hAnsi="Arial" w:cs="Guttman Yad-Brush" w:hint="cs"/>
          <w:sz w:val="22"/>
          <w:szCs w:val="22"/>
          <w:rtl/>
        </w:rPr>
        <w:t xml:space="preserve">ר' לוי יצחק </w:t>
      </w:r>
      <w:proofErr w:type="spellStart"/>
      <w:r>
        <w:rPr>
          <w:rFonts w:ascii="Arial" w:hAnsi="Arial" w:cs="Guttman Yad-Brush" w:hint="cs"/>
          <w:sz w:val="22"/>
          <w:szCs w:val="22"/>
          <w:rtl/>
        </w:rPr>
        <w:t>מברדיטשב</w:t>
      </w:r>
      <w:proofErr w:type="spellEnd"/>
      <w:r>
        <w:rPr>
          <w:rFonts w:ascii="Arial" w:hAnsi="Arial" w:cs="Guttman Yad-Brush" w:hint="cs"/>
          <w:sz w:val="22"/>
          <w:szCs w:val="22"/>
          <w:rtl/>
        </w:rPr>
        <w:t>: היסטוריה, הגות וספרות</w:t>
      </w:r>
      <w:r w:rsidR="00923A93">
        <w:rPr>
          <w:rFonts w:ascii="Arial" w:hAnsi="Arial" w:cs="Guttman Yad-Brush" w:hint="cs"/>
          <w:sz w:val="22"/>
          <w:szCs w:val="22"/>
          <w:rtl/>
        </w:rPr>
        <w:t>/</w:t>
      </w:r>
      <w:r>
        <w:rPr>
          <w:rFonts w:ascii="Arial" w:hAnsi="Arial" w:cs="Guttman Yad-Brush" w:hint="cs"/>
          <w:sz w:val="22"/>
          <w:szCs w:val="22"/>
          <w:rtl/>
        </w:rPr>
        <w:t xml:space="preserve">פרופ' צבי מרק </w:t>
      </w:r>
      <w:r w:rsidR="00065A46" w:rsidRPr="009311DA">
        <w:rPr>
          <w:rFonts w:ascii="Arial" w:hAnsi="Arial" w:cs="Guttman Yad-Brush" w:hint="cs"/>
          <w:sz w:val="22"/>
          <w:szCs w:val="22"/>
          <w:rtl/>
        </w:rPr>
        <w:t>(</w:t>
      </w:r>
      <w:r w:rsidR="00065A46">
        <w:rPr>
          <w:rFonts w:ascii="Arial" w:hAnsi="Arial" w:cs="Guttman Yad-Brush" w:hint="cs"/>
          <w:sz w:val="22"/>
          <w:szCs w:val="22"/>
          <w:rtl/>
        </w:rPr>
        <w:t>03-</w:t>
      </w:r>
      <w:r>
        <w:rPr>
          <w:rFonts w:ascii="Arial" w:hAnsi="Arial" w:cs="Guttman Yad-Brush" w:hint="cs"/>
          <w:sz w:val="22"/>
          <w:szCs w:val="22"/>
          <w:rtl/>
        </w:rPr>
        <w:t>176</w:t>
      </w:r>
      <w:r w:rsidR="00065A46">
        <w:rPr>
          <w:rFonts w:ascii="Arial" w:hAnsi="Arial" w:cs="Guttman Yad-Brush" w:hint="cs"/>
          <w:sz w:val="22"/>
          <w:szCs w:val="22"/>
          <w:rtl/>
        </w:rPr>
        <w:t>-3</w:t>
      </w:r>
      <w:r w:rsidR="00FA1167">
        <w:rPr>
          <w:rFonts w:ascii="Arial" w:hAnsi="Arial" w:cs="Guttman Yad-Brush" w:hint="cs"/>
          <w:sz w:val="22"/>
          <w:szCs w:val="22"/>
          <w:rtl/>
        </w:rPr>
        <w:t>5</w:t>
      </w:r>
      <w:r w:rsidR="00065A46" w:rsidRPr="009311DA">
        <w:rPr>
          <w:rFonts w:ascii="Arial" w:hAnsi="Arial" w:cs="Guttman Yad-Brush" w:hint="cs"/>
          <w:sz w:val="22"/>
          <w:szCs w:val="22"/>
          <w:rtl/>
        </w:rPr>
        <w:t>)</w:t>
      </w:r>
      <w:r w:rsidR="00065A46">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63DEEC0" w14:textId="17CC498E" w:rsidR="00065A46" w:rsidRDefault="00065A46" w:rsidP="00065A46">
      <w:pPr>
        <w:bidi/>
        <w:jc w:val="both"/>
        <w:rPr>
          <w:rFonts w:cs="David"/>
          <w:rtl/>
        </w:rPr>
      </w:pPr>
      <w:r>
        <w:rPr>
          <w:rFonts w:cs="David" w:hint="cs"/>
          <w:b/>
          <w:bCs/>
          <w:rtl/>
        </w:rPr>
        <w:t>מפגש 1:</w:t>
      </w:r>
      <w:r>
        <w:rPr>
          <w:rFonts w:cs="David" w:hint="cs"/>
          <w:rtl/>
        </w:rPr>
        <w:t xml:space="preserve"> </w:t>
      </w:r>
      <w:r w:rsidR="004010E3">
        <w:rPr>
          <w:rFonts w:cs="David" w:hint="cs"/>
          <w:rtl/>
        </w:rPr>
        <w:t>ביום ר</w:t>
      </w:r>
      <w:r w:rsidR="00FA1167">
        <w:rPr>
          <w:rFonts w:cs="David" w:hint="cs"/>
          <w:rtl/>
        </w:rPr>
        <w:t>ביעי</w:t>
      </w:r>
      <w:r w:rsidR="004010E3">
        <w:rPr>
          <w:rFonts w:cs="David" w:hint="cs"/>
          <w:rtl/>
        </w:rPr>
        <w:t xml:space="preserve">, </w:t>
      </w:r>
      <w:r w:rsidR="00FA1167">
        <w:rPr>
          <w:rFonts w:cs="David" w:hint="cs"/>
          <w:rtl/>
        </w:rPr>
        <w:t>ה' בחשוון תשפ"ה</w:t>
      </w:r>
      <w:r w:rsidR="004010E3">
        <w:rPr>
          <w:rFonts w:cs="David" w:hint="cs"/>
          <w:rtl/>
        </w:rPr>
        <w:t xml:space="preserve">, </w:t>
      </w:r>
      <w:r w:rsidR="00FA1167">
        <w:rPr>
          <w:rFonts w:cs="David" w:hint="cs"/>
          <w:rtl/>
        </w:rPr>
        <w:t>6/11</w:t>
      </w:r>
      <w:r w:rsidR="004010E3">
        <w:rPr>
          <w:rFonts w:cs="David" w:hint="cs"/>
          <w:rtl/>
        </w:rPr>
        <w:t>/24, 1</w:t>
      </w:r>
      <w:r w:rsidR="00FA1167">
        <w:rPr>
          <w:rFonts w:cs="David" w:hint="cs"/>
          <w:rtl/>
        </w:rPr>
        <w:t>8</w:t>
      </w:r>
      <w:r w:rsidR="004010E3">
        <w:rPr>
          <w:rFonts w:cs="David" w:hint="cs"/>
          <w:rtl/>
        </w:rPr>
        <w:t>:00</w:t>
      </w:r>
    </w:p>
    <w:p w14:paraId="4E0030AA" w14:textId="77777777" w:rsidR="00065A46" w:rsidRDefault="00065A46" w:rsidP="00065A46">
      <w:pPr>
        <w:bidi/>
        <w:spacing w:line="360" w:lineRule="auto"/>
        <w:jc w:val="both"/>
        <w:rPr>
          <w:rFonts w:cs="David"/>
          <w:b/>
          <w:bCs/>
          <w:sz w:val="32"/>
          <w:szCs w:val="32"/>
          <w:u w:val="single"/>
          <w:rtl/>
        </w:rPr>
      </w:pP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7A91D05E" w:rsidR="00065A46" w:rsidRPr="00564363" w:rsidRDefault="00065A46" w:rsidP="00065A46">
      <w:pPr>
        <w:tabs>
          <w:tab w:val="center" w:pos="4153"/>
          <w:tab w:val="right" w:pos="8306"/>
        </w:tabs>
        <w:bidi/>
        <w:jc w:val="right"/>
        <w:rPr>
          <w:rFonts w:cs="David"/>
          <w:sz w:val="18"/>
          <w:szCs w:val="18"/>
          <w:rtl/>
        </w:rPr>
      </w:pPr>
      <w:r>
        <w:rPr>
          <w:rFonts w:cs="David" w:hint="cs"/>
          <w:sz w:val="18"/>
          <w:szCs w:val="18"/>
          <w:rtl/>
        </w:rPr>
        <w:t>03-</w:t>
      </w:r>
      <w:r w:rsidR="000F2996">
        <w:rPr>
          <w:rFonts w:cs="David" w:hint="cs"/>
          <w:sz w:val="18"/>
          <w:szCs w:val="18"/>
          <w:rtl/>
        </w:rPr>
        <w:t>176-3</w:t>
      </w:r>
      <w:r w:rsidR="00FA1167">
        <w:rPr>
          <w:rFonts w:cs="David" w:hint="cs"/>
          <w:sz w:val="18"/>
          <w:szCs w:val="18"/>
          <w:rtl/>
        </w:rPr>
        <w:t>5</w:t>
      </w:r>
      <w:r>
        <w:rPr>
          <w:rFonts w:cs="David" w:hint="cs"/>
          <w:sz w:val="18"/>
          <w:szCs w:val="18"/>
          <w:rtl/>
        </w:rPr>
        <w:t>-דפי הנחיות/תשפ</w:t>
      </w:r>
      <w:r w:rsidR="00923A93">
        <w:rPr>
          <w:rFonts w:cs="David" w:hint="cs"/>
          <w:sz w:val="18"/>
          <w:szCs w:val="18"/>
          <w:rtl/>
        </w:rPr>
        <w:t>ד</w:t>
      </w:r>
      <w:r>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0F2996"/>
    <w:rsid w:val="001351AA"/>
    <w:rsid w:val="00176D0E"/>
    <w:rsid w:val="001A4317"/>
    <w:rsid w:val="001B255F"/>
    <w:rsid w:val="001C6AF5"/>
    <w:rsid w:val="001F0B14"/>
    <w:rsid w:val="0020077A"/>
    <w:rsid w:val="00214080"/>
    <w:rsid w:val="00234E88"/>
    <w:rsid w:val="00241222"/>
    <w:rsid w:val="00245E99"/>
    <w:rsid w:val="002547E8"/>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010E3"/>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554ED"/>
    <w:rsid w:val="008631FD"/>
    <w:rsid w:val="00870983"/>
    <w:rsid w:val="008726AA"/>
    <w:rsid w:val="008B02A9"/>
    <w:rsid w:val="008D23B3"/>
    <w:rsid w:val="008E0012"/>
    <w:rsid w:val="008F333F"/>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B5C95"/>
    <w:rsid w:val="00BF61C9"/>
    <w:rsid w:val="00C0236C"/>
    <w:rsid w:val="00C722F4"/>
    <w:rsid w:val="00CA3BD2"/>
    <w:rsid w:val="00CB4352"/>
    <w:rsid w:val="00CE33B6"/>
    <w:rsid w:val="00D06874"/>
    <w:rsid w:val="00D10C97"/>
    <w:rsid w:val="00D13103"/>
    <w:rsid w:val="00D131F3"/>
    <w:rsid w:val="00D358B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1167"/>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1201"/>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1739</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2024-09-30T08:55:00Z</dcterms:created>
  <dcterms:modified xsi:type="dcterms:W3CDTF">2024-09-30T08:55:00Z</dcterms:modified>
</cp:coreProperties>
</file>